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6C1383" w14:textId="77777777" w:rsidR="005F5357" w:rsidRDefault="005F5357" w:rsidP="005F5357">
      <w:pPr>
        <w:keepNext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626B4D91" wp14:editId="498BA3C5">
            <wp:extent cx="6440917" cy="37490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917" cy="374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355744" w14:textId="25E3FBF4" w:rsidR="005F5357" w:rsidRPr="005F5357" w:rsidRDefault="005F5357" w:rsidP="005F5357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5F5357">
        <w:rPr>
          <w:rFonts w:ascii="Times New Roman" w:hAnsi="Times New Roman" w:cs="Times New Roman"/>
          <w:i w:val="0"/>
          <w:color w:val="auto"/>
          <w:sz w:val="24"/>
          <w:szCs w:val="24"/>
        </w:rPr>
        <w:t>Figure S</w:t>
      </w:r>
      <w:r w:rsidRPr="005F5357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5F5357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Figure_S \* ARABIC </w:instrText>
      </w:r>
      <w:r w:rsidRPr="005F5357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1</w:t>
      </w:r>
      <w:r w:rsidRPr="005F5357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5F5357">
        <w:rPr>
          <w:rFonts w:ascii="Times New Roman" w:hAnsi="Times New Roman" w:cs="Times New Roman"/>
          <w:i w:val="0"/>
          <w:color w:val="auto"/>
          <w:sz w:val="24"/>
          <w:szCs w:val="24"/>
        </w:rPr>
        <w:t>: Map of Lake Champlain.  Image courtesy of the National Oceanic and Atmospheric A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dministration</w:t>
      </w:r>
      <w:r w:rsidRPr="005F535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(NOAA)</w:t>
      </w:r>
      <w:r w:rsidR="00223582">
        <w:rPr>
          <w:rFonts w:ascii="Times New Roman" w:hAnsi="Times New Roman" w:cs="Times New Roman"/>
          <w:i w:val="0"/>
          <w:color w:val="auto"/>
          <w:sz w:val="24"/>
          <w:szCs w:val="24"/>
        </w:rPr>
        <w:t>.  Lake Champlain is located between latitudes 45° 5’52.75”N and 44° 0’1.87”N and between longitudes 73° 28’26.74”</w:t>
      </w:r>
      <w:r w:rsidR="00BE7B86">
        <w:rPr>
          <w:rFonts w:ascii="Times New Roman" w:hAnsi="Times New Roman" w:cs="Times New Roman"/>
          <w:i w:val="0"/>
          <w:color w:val="auto"/>
          <w:sz w:val="24"/>
          <w:szCs w:val="24"/>
        </w:rPr>
        <w:t>W</w:t>
      </w:r>
      <w:r w:rsidR="0022358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and 73° 7’55.75”</w:t>
      </w:r>
      <w:r w:rsidR="00BE7B86">
        <w:rPr>
          <w:rFonts w:ascii="Times New Roman" w:hAnsi="Times New Roman" w:cs="Times New Roman"/>
          <w:i w:val="0"/>
          <w:color w:val="auto"/>
          <w:sz w:val="24"/>
          <w:szCs w:val="24"/>
        </w:rPr>
        <w:t>W</w:t>
      </w:r>
    </w:p>
    <w:p w14:paraId="2B619AE7" w14:textId="582DB150" w:rsidR="005F5357" w:rsidRDefault="00ED004A" w:rsidP="005F5357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BF839DA" wp14:editId="5BB6D0BA">
            <wp:extent cx="3599216" cy="7040880"/>
            <wp:effectExtent l="0" t="0" r="1270" b="7620"/>
            <wp:docPr id="9" name="Picture 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C Basin_Manuscrip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216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06988" w14:textId="77777777" w:rsidR="005F5357" w:rsidRPr="005F5357" w:rsidRDefault="005F5357" w:rsidP="005F5357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5F5357">
        <w:rPr>
          <w:rFonts w:ascii="Times New Roman" w:hAnsi="Times New Roman" w:cs="Times New Roman"/>
          <w:i w:val="0"/>
          <w:color w:val="auto"/>
          <w:sz w:val="24"/>
          <w:szCs w:val="24"/>
        </w:rPr>
        <w:t>Figure S</w:t>
      </w:r>
      <w:r w:rsidRPr="005F5357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5F5357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Figure_S \* ARABIC </w:instrText>
      </w:r>
      <w:r w:rsidRPr="005F5357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2</w:t>
      </w:r>
      <w:r w:rsidRPr="005F5357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5F5357">
        <w:rPr>
          <w:rFonts w:ascii="Times New Roman" w:hAnsi="Times New Roman" w:cs="Times New Roman"/>
          <w:i w:val="0"/>
          <w:color w:val="auto"/>
          <w:sz w:val="24"/>
          <w:szCs w:val="24"/>
        </w:rPr>
        <w:t>: Sub-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b</w:t>
      </w:r>
      <w:r w:rsidRPr="005F535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asin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m</w:t>
      </w:r>
      <w:r w:rsidRPr="005F5357">
        <w:rPr>
          <w:rFonts w:ascii="Times New Roman" w:hAnsi="Times New Roman" w:cs="Times New Roman"/>
          <w:i w:val="0"/>
          <w:color w:val="auto"/>
          <w:sz w:val="24"/>
          <w:szCs w:val="24"/>
        </w:rPr>
        <w:t>ap of Lake Champlain.  Image courtesy of the Lake Champlain Basin Program.</w:t>
      </w:r>
    </w:p>
    <w:p w14:paraId="0B5D698A" w14:textId="77777777" w:rsidR="0025698D" w:rsidRDefault="00BE3F12" w:rsidP="0025698D">
      <w:pPr>
        <w:keepNext/>
      </w:pPr>
      <w:r>
        <w:object w:dxaOrig="11535" w:dyaOrig="12120" w14:anchorId="73CB2B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91.25pt" o:ole="">
            <v:imagedata r:id="rId9" o:title=""/>
          </v:shape>
          <o:OLEObject Type="Embed" ProgID="SigmaPlotGraphicObject.12" ShapeID="_x0000_i1025" DrawAspect="Content" ObjectID="_1646135369" r:id="rId10"/>
        </w:object>
      </w:r>
    </w:p>
    <w:p w14:paraId="19A69286" w14:textId="77777777" w:rsidR="00BE3F12" w:rsidRDefault="0025698D" w:rsidP="006970D0">
      <w:pPr>
        <w:pStyle w:val="Caption"/>
        <w:jc w:val="center"/>
      </w:pP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t>Figure S</w:t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Figure_S \* ARABIC </w:instrText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5F5357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3</w:t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="006970D0">
        <w:rPr>
          <w:rFonts w:ascii="Times New Roman" w:hAnsi="Times New Roman" w:cs="Times New Roman"/>
          <w:i w:val="0"/>
          <w:color w:val="auto"/>
          <w:sz w:val="24"/>
          <w:szCs w:val="24"/>
        </w:rPr>
        <w:t>.  Select</w:t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6970D0">
        <w:rPr>
          <w:rFonts w:ascii="Times New Roman" w:hAnsi="Times New Roman" w:cs="Times New Roman"/>
          <w:i w:val="0"/>
          <w:color w:val="auto"/>
          <w:sz w:val="24"/>
          <w:szCs w:val="24"/>
        </w:rPr>
        <w:t>l</w:t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egacy </w:t>
      </w:r>
      <w:r w:rsidR="006970D0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contaminant </w:t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log-linear age-trend models for Lake Champlain </w:t>
      </w:r>
      <w:r w:rsidRPr="0025698D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lake trout.</w:t>
      </w:r>
      <w:r w:rsidR="006970D0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 xml:space="preserve">  </w:t>
      </w:r>
      <w:r w:rsidR="006970D0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The displayed Y-axis units are arbitrary derived from the ATM output and are not units of </w:t>
      </w:r>
      <w:r w:rsidR="006970D0"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t>concentration.</w:t>
      </w:r>
      <w:r w:rsidRPr="0025698D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 xml:space="preserve"> </w:t>
      </w:r>
      <w:r w:rsidR="00BE3F12">
        <w:tab/>
      </w:r>
    </w:p>
    <w:p w14:paraId="264FEBC8" w14:textId="77777777" w:rsidR="00BE3F12" w:rsidRDefault="00BE3F12" w:rsidP="00BE3F12"/>
    <w:p w14:paraId="63152DF9" w14:textId="77777777" w:rsidR="00BE3F12" w:rsidRDefault="00BE3F12" w:rsidP="00BE3F12"/>
    <w:p w14:paraId="3E918CE3" w14:textId="77777777" w:rsidR="0025698D" w:rsidRDefault="00BE3F12" w:rsidP="0025698D">
      <w:pPr>
        <w:keepNext/>
      </w:pPr>
      <w:r w:rsidRPr="00BE3F12">
        <w:rPr>
          <w:noProof/>
        </w:rPr>
        <w:lastRenderedPageBreak/>
        <w:drawing>
          <wp:inline distT="0" distB="0" distL="0" distR="0" wp14:anchorId="544CD00E" wp14:editId="21D6876C">
            <wp:extent cx="5943600" cy="20064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6BBBA" w14:textId="77777777" w:rsidR="006970D0" w:rsidRPr="0025698D" w:rsidRDefault="0025698D" w:rsidP="006970D0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t>Figure S</w:t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Figure_S \* ARABIC </w:instrText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5F5357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4</w:t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="006970D0">
        <w:rPr>
          <w:rFonts w:ascii="Times New Roman" w:hAnsi="Times New Roman" w:cs="Times New Roman"/>
          <w:i w:val="0"/>
          <w:color w:val="auto"/>
          <w:sz w:val="24"/>
          <w:szCs w:val="24"/>
        </w:rPr>
        <w:t>.  2378-TCDD, 2378-TCDF</w:t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and total PCN log-linear age-trend models for Lake Champlain lake trout.  </w:t>
      </w:r>
      <w:r w:rsidR="006970D0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The displayed Y-axis units are arbitrary derived from the ATM output and are not units of </w:t>
      </w:r>
      <w:r w:rsidR="006970D0"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t>concentration.</w:t>
      </w:r>
    </w:p>
    <w:p w14:paraId="78ECB18C" w14:textId="77777777" w:rsidR="001F11CF" w:rsidRPr="0025698D" w:rsidRDefault="001F11CF" w:rsidP="0025698D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</w:p>
    <w:p w14:paraId="2B64461D" w14:textId="77777777" w:rsidR="0025698D" w:rsidRDefault="00BE3F12" w:rsidP="0025698D">
      <w:pPr>
        <w:keepNext/>
      </w:pPr>
      <w:r w:rsidRPr="00BE3F12">
        <w:rPr>
          <w:noProof/>
        </w:rPr>
        <w:lastRenderedPageBreak/>
        <w:drawing>
          <wp:inline distT="0" distB="0" distL="0" distR="0" wp14:anchorId="3E160803" wp14:editId="6E3E2365">
            <wp:extent cx="5943600" cy="6271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2A2EC" w14:textId="77777777" w:rsidR="00BE3F12" w:rsidRPr="0025698D" w:rsidRDefault="0025698D" w:rsidP="0025698D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t>Figure S</w:t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Figure_S \* ARABIC </w:instrText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5F5357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5</w:t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="006970D0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.  </w:t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t>Dioxin-like PCB</w:t>
      </w:r>
      <w:r w:rsidR="006970D0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(CP4-PCB)</w:t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6970D0"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log-linear age-trend models for Lake Champlain lake trout.  </w:t>
      </w:r>
      <w:r w:rsidR="006970D0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The displayed Y-axis units are arbitrary derived from the ATM output and are not units of </w:t>
      </w:r>
      <w:r w:rsidR="006970D0"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t>concentration.</w:t>
      </w:r>
    </w:p>
    <w:p w14:paraId="51911026" w14:textId="77777777" w:rsidR="0025698D" w:rsidRDefault="00BE3F12" w:rsidP="0025698D">
      <w:pPr>
        <w:keepNext/>
      </w:pPr>
      <w:r w:rsidRPr="00BE3F12">
        <w:rPr>
          <w:noProof/>
        </w:rPr>
        <w:lastRenderedPageBreak/>
        <w:drawing>
          <wp:inline distT="0" distB="0" distL="0" distR="0" wp14:anchorId="60E0BE65" wp14:editId="28F50754">
            <wp:extent cx="5943600" cy="6271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56888" w14:textId="77777777" w:rsidR="00BE3F12" w:rsidRDefault="0025698D" w:rsidP="0025698D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t>Figure S</w:t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Figure_S \* ARABIC </w:instrText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5F5357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6</w:t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="00517668">
        <w:rPr>
          <w:rFonts w:ascii="Times New Roman" w:hAnsi="Times New Roman" w:cs="Times New Roman"/>
          <w:i w:val="0"/>
          <w:color w:val="auto"/>
          <w:sz w:val="24"/>
          <w:szCs w:val="24"/>
        </w:rPr>
        <w:t>.  Toxic equivalence (</w:t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t>TEQ</w:t>
      </w:r>
      <w:r w:rsidR="00517668">
        <w:rPr>
          <w:rFonts w:ascii="Times New Roman" w:hAnsi="Times New Roman" w:cs="Times New Roman"/>
          <w:i w:val="0"/>
          <w:color w:val="auto"/>
          <w:sz w:val="24"/>
          <w:szCs w:val="24"/>
        </w:rPr>
        <w:t>)</w:t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log-linear age-trend models for Lake Champlain lake trout.  </w:t>
      </w:r>
      <w:r w:rsidR="00517668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The </w:t>
      </w:r>
      <w:r w:rsidR="006970D0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displayed </w:t>
      </w:r>
      <w:r w:rsidR="00517668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Y-axis </w:t>
      </w:r>
      <w:r w:rsidR="006970D0">
        <w:rPr>
          <w:rFonts w:ascii="Times New Roman" w:hAnsi="Times New Roman" w:cs="Times New Roman"/>
          <w:i w:val="0"/>
          <w:color w:val="auto"/>
          <w:sz w:val="24"/>
          <w:szCs w:val="24"/>
        </w:rPr>
        <w:t>units are</w:t>
      </w:r>
      <w:r w:rsidR="00517668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arbitrary derived from the ATM output and are not units of </w:t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t>concentration.</w:t>
      </w:r>
    </w:p>
    <w:p w14:paraId="4728045E" w14:textId="77777777" w:rsidR="0025698D" w:rsidRDefault="0025698D" w:rsidP="0025698D">
      <w:pPr>
        <w:jc w:val="center"/>
      </w:pPr>
      <w:r w:rsidRPr="00BE3F12">
        <w:rPr>
          <w:noProof/>
        </w:rPr>
        <w:lastRenderedPageBreak/>
        <w:drawing>
          <wp:inline distT="0" distB="0" distL="0" distR="0" wp14:anchorId="5B26E4CD" wp14:editId="7E246AA7">
            <wp:extent cx="4276557" cy="4572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557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C779E" w14:textId="77777777" w:rsidR="005F5357" w:rsidRDefault="0025698D" w:rsidP="005F5357">
      <w:pPr>
        <w:keepNext/>
        <w:jc w:val="center"/>
      </w:pPr>
      <w:r w:rsidRPr="00BE3F12">
        <w:rPr>
          <w:noProof/>
        </w:rPr>
        <w:drawing>
          <wp:inline distT="0" distB="0" distL="0" distR="0" wp14:anchorId="561C953B" wp14:editId="2195EF59">
            <wp:extent cx="2438400" cy="1752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5D0B2" w14:textId="77777777" w:rsidR="00517668" w:rsidRPr="0025698D" w:rsidRDefault="005F5357" w:rsidP="005F5357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5F5357">
        <w:rPr>
          <w:rFonts w:ascii="Times New Roman" w:hAnsi="Times New Roman" w:cs="Times New Roman"/>
          <w:i w:val="0"/>
          <w:color w:val="auto"/>
          <w:sz w:val="24"/>
          <w:szCs w:val="24"/>
        </w:rPr>
        <w:t>Figure S</w:t>
      </w:r>
      <w:r w:rsidRPr="005F5357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5F5357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Figure_S \* ARABIC </w:instrText>
      </w:r>
      <w:r w:rsidRPr="005F5357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Pr="005F5357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7</w:t>
      </w:r>
      <w:r w:rsidRPr="005F5357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5F5357">
        <w:rPr>
          <w:rFonts w:ascii="Times New Roman" w:hAnsi="Times New Roman" w:cs="Times New Roman"/>
          <w:i w:val="0"/>
          <w:color w:val="auto"/>
          <w:sz w:val="24"/>
          <w:szCs w:val="24"/>
        </w:rPr>
        <w:t>: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517668"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t>Percent contribution of BDE</w:t>
      </w:r>
      <w:r w:rsidR="00517668">
        <w:rPr>
          <w:rFonts w:ascii="Times New Roman" w:hAnsi="Times New Roman" w:cs="Times New Roman"/>
          <w:i w:val="0"/>
          <w:color w:val="auto"/>
          <w:sz w:val="24"/>
          <w:szCs w:val="24"/>
        </w:rPr>
        <w:t>-047 to total-5-BDEs</w:t>
      </w:r>
      <w:r w:rsidR="00517668"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as compared to technical formulation DE-71</w:t>
      </w:r>
      <w:r w:rsidR="00517668">
        <w:rPr>
          <w:rFonts w:ascii="Times New Roman" w:hAnsi="Times New Roman" w:cs="Times New Roman"/>
          <w:i w:val="0"/>
          <w:color w:val="auto"/>
          <w:sz w:val="24"/>
          <w:szCs w:val="24"/>
        </w:rPr>
        <w:t>™</w:t>
      </w:r>
      <w:r w:rsidR="00517668"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.  P-values &lt;0.05 indicate a significant difference with the </w:t>
      </w:r>
      <w:r w:rsidR="00517668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percent contribution found in the </w:t>
      </w:r>
      <w:r w:rsidR="00517668"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t>technical formulation.</w:t>
      </w:r>
    </w:p>
    <w:p w14:paraId="4EE436DF" w14:textId="77777777" w:rsidR="0025698D" w:rsidRDefault="00BE3F12" w:rsidP="0025698D">
      <w:pPr>
        <w:keepNext/>
        <w:jc w:val="center"/>
      </w:pPr>
      <w:r w:rsidRPr="00BE3F12">
        <w:rPr>
          <w:noProof/>
        </w:rPr>
        <w:lastRenderedPageBreak/>
        <w:drawing>
          <wp:inline distT="0" distB="0" distL="0" distR="0" wp14:anchorId="100BE6ED" wp14:editId="33A6D16A">
            <wp:extent cx="4269170" cy="457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7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98D" w:rsidRPr="00BE3F12">
        <w:rPr>
          <w:noProof/>
        </w:rPr>
        <w:drawing>
          <wp:inline distT="0" distB="0" distL="0" distR="0" wp14:anchorId="21BC95A5" wp14:editId="5AC58F04">
            <wp:extent cx="2876550" cy="1752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9ECAB" w14:textId="77777777" w:rsidR="00BE3F12" w:rsidRPr="0025698D" w:rsidRDefault="0025698D" w:rsidP="0025698D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t>Figure S</w:t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Figure_S \* ARABIC </w:instrText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5F5357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8</w:t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="00517668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.  </w:t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t>Percent contribution of BDE</w:t>
      </w:r>
      <w:r w:rsidR="00517668">
        <w:rPr>
          <w:rFonts w:ascii="Times New Roman" w:hAnsi="Times New Roman" w:cs="Times New Roman"/>
          <w:i w:val="0"/>
          <w:color w:val="auto"/>
          <w:sz w:val="24"/>
          <w:szCs w:val="24"/>
        </w:rPr>
        <w:t>-099 to total-5-BDEs</w:t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as compared to technical formulation DE-71</w:t>
      </w:r>
      <w:r w:rsidR="00517668">
        <w:rPr>
          <w:rFonts w:ascii="Times New Roman" w:hAnsi="Times New Roman" w:cs="Times New Roman"/>
          <w:i w:val="0"/>
          <w:color w:val="auto"/>
          <w:sz w:val="24"/>
          <w:szCs w:val="24"/>
        </w:rPr>
        <w:t>™</w:t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.  P-values &lt;0.05 indicate a significant difference with the </w:t>
      </w:r>
      <w:r w:rsidR="00517668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percent contribution found in the </w:t>
      </w:r>
      <w:r w:rsidRPr="0025698D">
        <w:rPr>
          <w:rFonts w:ascii="Times New Roman" w:hAnsi="Times New Roman" w:cs="Times New Roman"/>
          <w:i w:val="0"/>
          <w:color w:val="auto"/>
          <w:sz w:val="24"/>
          <w:szCs w:val="24"/>
        </w:rPr>
        <w:t>technical formulation.</w:t>
      </w:r>
    </w:p>
    <w:p w14:paraId="119925EE" w14:textId="77777777" w:rsidR="00BE3F12" w:rsidRDefault="00BE3F12" w:rsidP="00BE3F12">
      <w:pPr>
        <w:jc w:val="center"/>
      </w:pPr>
    </w:p>
    <w:p w14:paraId="3B50CBB7" w14:textId="77777777" w:rsidR="00BE3F12" w:rsidRDefault="00BE3F12" w:rsidP="00BE3F12">
      <w:pPr>
        <w:jc w:val="center"/>
      </w:pPr>
    </w:p>
    <w:p w14:paraId="25A4046C" w14:textId="77777777" w:rsidR="00BE3F12" w:rsidRDefault="00BE3F12" w:rsidP="00BE3F12">
      <w:pPr>
        <w:jc w:val="center"/>
      </w:pPr>
    </w:p>
    <w:p w14:paraId="204A6E04" w14:textId="77777777" w:rsidR="00BE3F12" w:rsidRPr="00BE3F12" w:rsidRDefault="00BE3F12" w:rsidP="00BE3F12">
      <w:pPr>
        <w:jc w:val="center"/>
      </w:pPr>
    </w:p>
    <w:sectPr w:rsidR="00BE3F12" w:rsidRPr="00BE3F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49E8B5" w14:textId="77777777" w:rsidR="007444AA" w:rsidRDefault="007444AA" w:rsidP="00F52C6F">
      <w:pPr>
        <w:spacing w:after="0" w:line="240" w:lineRule="auto"/>
      </w:pPr>
      <w:r>
        <w:separator/>
      </w:r>
    </w:p>
  </w:endnote>
  <w:endnote w:type="continuationSeparator" w:id="0">
    <w:p w14:paraId="75F03C49" w14:textId="77777777" w:rsidR="007444AA" w:rsidRDefault="007444AA" w:rsidP="00F52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1F257B" w14:textId="77777777" w:rsidR="007444AA" w:rsidRDefault="007444AA" w:rsidP="00F52C6F">
      <w:pPr>
        <w:spacing w:after="0" w:line="240" w:lineRule="auto"/>
      </w:pPr>
      <w:r>
        <w:separator/>
      </w:r>
    </w:p>
  </w:footnote>
  <w:footnote w:type="continuationSeparator" w:id="0">
    <w:p w14:paraId="6179DE40" w14:textId="77777777" w:rsidR="007444AA" w:rsidRDefault="007444AA" w:rsidP="00F52C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F12"/>
    <w:rsid w:val="000B49D6"/>
    <w:rsid w:val="001F11CF"/>
    <w:rsid w:val="00223582"/>
    <w:rsid w:val="0025698D"/>
    <w:rsid w:val="0035340F"/>
    <w:rsid w:val="003C525A"/>
    <w:rsid w:val="00406A96"/>
    <w:rsid w:val="00517668"/>
    <w:rsid w:val="005F5357"/>
    <w:rsid w:val="006970D0"/>
    <w:rsid w:val="007444AA"/>
    <w:rsid w:val="007E1628"/>
    <w:rsid w:val="00A95155"/>
    <w:rsid w:val="00AB32FD"/>
    <w:rsid w:val="00BE3F12"/>
    <w:rsid w:val="00BE7B86"/>
    <w:rsid w:val="00ED004A"/>
    <w:rsid w:val="00F5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1EAD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5698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2C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C6F"/>
  </w:style>
  <w:style w:type="paragraph" w:styleId="Footer">
    <w:name w:val="footer"/>
    <w:basedOn w:val="Normal"/>
    <w:link w:val="FooterChar"/>
    <w:uiPriority w:val="99"/>
    <w:unhideWhenUsed/>
    <w:rsid w:val="00F52C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C6F"/>
  </w:style>
  <w:style w:type="paragraph" w:styleId="BalloonText">
    <w:name w:val="Balloon Text"/>
    <w:basedOn w:val="Normal"/>
    <w:link w:val="BalloonTextChar"/>
    <w:uiPriority w:val="99"/>
    <w:semiHidden/>
    <w:unhideWhenUsed/>
    <w:rsid w:val="0040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A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5698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2C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C6F"/>
  </w:style>
  <w:style w:type="paragraph" w:styleId="Footer">
    <w:name w:val="footer"/>
    <w:basedOn w:val="Normal"/>
    <w:link w:val="FooterChar"/>
    <w:uiPriority w:val="99"/>
    <w:unhideWhenUsed/>
    <w:rsid w:val="00F52C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C6F"/>
  </w:style>
  <w:style w:type="paragraph" w:styleId="BalloonText">
    <w:name w:val="Balloon Text"/>
    <w:basedOn w:val="Normal"/>
    <w:link w:val="BalloonTextChar"/>
    <w:uiPriority w:val="99"/>
    <w:semiHidden/>
    <w:unhideWhenUsed/>
    <w:rsid w:val="0040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A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microsoft.com/office/2007/relationships/stylesWithEffects" Target="stylesWithEffects.xml"/><Relationship Id="rId16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2020-03-19T19:03:00Z</dcterms:created>
  <dcterms:modified xsi:type="dcterms:W3CDTF">2020-03-19T19:03:00Z</dcterms:modified>
</cp:coreProperties>
</file>